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3" w:rsidRDefault="00735377">
      <w:pPr>
        <w:pStyle w:val="Standard"/>
        <w:jc w:val="center"/>
      </w:pPr>
      <w:r>
        <w:rPr>
          <w:noProof/>
        </w:rPr>
        <w:drawing>
          <wp:inline distT="0" distB="0" distL="0" distR="0">
            <wp:extent cx="327804" cy="396815"/>
            <wp:effectExtent l="0" t="0" r="0" b="381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26" cy="396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910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9454C3">
        <w:trPr>
          <w:trHeight w:val="100"/>
        </w:trPr>
        <w:tc>
          <w:tcPr>
            <w:tcW w:w="9102" w:type="dxa"/>
            <w:tcBorders>
              <w:top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454C3" w:rsidRDefault="009454C3">
      <w:pPr>
        <w:pStyle w:val="Standard"/>
        <w:jc w:val="center"/>
        <w:rPr>
          <w:b/>
          <w:sz w:val="16"/>
          <w:szCs w:val="24"/>
        </w:rPr>
      </w:pPr>
    </w:p>
    <w:p w:rsidR="00B316F9" w:rsidRDefault="00B316F9">
      <w:pPr>
        <w:pStyle w:val="Standard"/>
        <w:jc w:val="center"/>
        <w:rPr>
          <w:b/>
          <w:sz w:val="28"/>
          <w:szCs w:val="24"/>
        </w:rPr>
      </w:pPr>
    </w:p>
    <w:p w:rsidR="009454C3" w:rsidRDefault="00735377">
      <w:pPr>
        <w:pStyle w:val="Standard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454C3" w:rsidRDefault="007353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316F9" w:rsidRDefault="00B316F9">
      <w:pPr>
        <w:pStyle w:val="Standard"/>
        <w:rPr>
          <w:sz w:val="24"/>
          <w:szCs w:val="24"/>
        </w:rPr>
      </w:pPr>
    </w:p>
    <w:p w:rsidR="009454C3" w:rsidRDefault="00735377">
      <w:pPr>
        <w:pStyle w:val="Standard"/>
      </w:pPr>
      <w:r>
        <w:rPr>
          <w:sz w:val="24"/>
          <w:szCs w:val="24"/>
        </w:rPr>
        <w:t xml:space="preserve">от </w:t>
      </w:r>
      <w:r w:rsidR="00442A45">
        <w:rPr>
          <w:sz w:val="24"/>
          <w:szCs w:val="24"/>
        </w:rPr>
        <w:t xml:space="preserve"> </w:t>
      </w:r>
      <w:r w:rsidR="0057074E">
        <w:rPr>
          <w:sz w:val="24"/>
          <w:szCs w:val="24"/>
        </w:rPr>
        <w:t>08</w:t>
      </w:r>
      <w:r w:rsidR="00442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074E">
        <w:rPr>
          <w:sz w:val="24"/>
          <w:szCs w:val="24"/>
        </w:rPr>
        <w:t xml:space="preserve">июня </w:t>
      </w:r>
      <w:r w:rsidR="00B21288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                                                                                                    №</w:t>
      </w:r>
      <w:r w:rsidR="00A14E4A">
        <w:rPr>
          <w:sz w:val="24"/>
          <w:szCs w:val="24"/>
        </w:rPr>
        <w:t xml:space="preserve"> 13</w:t>
      </w:r>
      <w:r w:rsidR="0057074E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</w:t>
      </w:r>
    </w:p>
    <w:p w:rsidR="009454C3" w:rsidRDefault="009454C3">
      <w:pPr>
        <w:pStyle w:val="Standard"/>
        <w:spacing w:line="240" w:lineRule="atLeast"/>
        <w:jc w:val="center"/>
        <w:rPr>
          <w:b/>
          <w:sz w:val="24"/>
          <w:szCs w:val="24"/>
        </w:rPr>
      </w:pPr>
    </w:p>
    <w:p w:rsidR="00B316F9" w:rsidRDefault="00B316F9" w:rsidP="0057074E">
      <w:pPr>
        <w:pStyle w:val="Standard"/>
        <w:jc w:val="center"/>
        <w:rPr>
          <w:b/>
          <w:sz w:val="24"/>
          <w:szCs w:val="24"/>
        </w:rPr>
      </w:pPr>
    </w:p>
    <w:p w:rsidR="00B316F9" w:rsidRDefault="00B316F9" w:rsidP="0057074E">
      <w:pPr>
        <w:pStyle w:val="Standard"/>
        <w:jc w:val="center"/>
        <w:rPr>
          <w:b/>
          <w:sz w:val="24"/>
          <w:szCs w:val="24"/>
        </w:rPr>
      </w:pPr>
    </w:p>
    <w:p w:rsidR="0057074E" w:rsidRDefault="00735377" w:rsidP="0057074E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7074E" w:rsidRPr="0057074E">
        <w:rPr>
          <w:b/>
          <w:sz w:val="24"/>
          <w:szCs w:val="24"/>
        </w:rPr>
        <w:t xml:space="preserve">Об организации благоустройства  на территории </w:t>
      </w:r>
    </w:p>
    <w:p w:rsidR="0057074E" w:rsidRDefault="0057074E" w:rsidP="0057074E">
      <w:pPr>
        <w:pStyle w:val="Standard"/>
        <w:jc w:val="center"/>
        <w:rPr>
          <w:b/>
          <w:sz w:val="24"/>
          <w:szCs w:val="24"/>
        </w:rPr>
      </w:pPr>
      <w:r w:rsidRPr="0057074E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Ромашкинское сельское поселение</w:t>
      </w:r>
      <w:r w:rsidRPr="005707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Приозерского </w:t>
      </w:r>
      <w:r w:rsidRPr="0057074E">
        <w:rPr>
          <w:b/>
          <w:sz w:val="24"/>
          <w:szCs w:val="24"/>
        </w:rPr>
        <w:t>муниципального района Ленинградской области</w:t>
      </w:r>
      <w:r>
        <w:rPr>
          <w:b/>
          <w:sz w:val="24"/>
          <w:szCs w:val="24"/>
        </w:rPr>
        <w:t xml:space="preserve"> </w:t>
      </w:r>
      <w:r w:rsidRPr="0057074E">
        <w:rPr>
          <w:b/>
          <w:sz w:val="24"/>
          <w:szCs w:val="24"/>
        </w:rPr>
        <w:t xml:space="preserve">в части создания </w:t>
      </w:r>
    </w:p>
    <w:p w:rsidR="0057074E" w:rsidRDefault="0057074E" w:rsidP="0057074E">
      <w:pPr>
        <w:pStyle w:val="Standard"/>
        <w:jc w:val="center"/>
        <w:rPr>
          <w:b/>
          <w:sz w:val="24"/>
          <w:szCs w:val="24"/>
        </w:rPr>
      </w:pPr>
      <w:r w:rsidRPr="0057074E">
        <w:rPr>
          <w:b/>
          <w:sz w:val="24"/>
          <w:szCs w:val="24"/>
        </w:rPr>
        <w:t>и оборудования</w:t>
      </w:r>
      <w:r>
        <w:rPr>
          <w:b/>
          <w:sz w:val="24"/>
          <w:szCs w:val="24"/>
        </w:rPr>
        <w:t xml:space="preserve"> </w:t>
      </w:r>
      <w:r w:rsidRPr="0057074E">
        <w:rPr>
          <w:b/>
          <w:sz w:val="24"/>
          <w:szCs w:val="24"/>
        </w:rPr>
        <w:t>спортивных и детских площадок</w:t>
      </w:r>
      <w:r>
        <w:rPr>
          <w:b/>
          <w:sz w:val="24"/>
          <w:szCs w:val="24"/>
        </w:rPr>
        <w:t>»</w:t>
      </w:r>
    </w:p>
    <w:p w:rsidR="009454C3" w:rsidRPr="0057074E" w:rsidRDefault="009454C3">
      <w:pPr>
        <w:pStyle w:val="Standard"/>
        <w:rPr>
          <w:szCs w:val="24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454C3">
        <w:trPr>
          <w:jc w:val="center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85F04" w:rsidRDefault="0057074E" w:rsidP="0057074E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  <w:proofErr w:type="gramStart"/>
      <w:r w:rsidRPr="0057074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7074E">
        <w:rPr>
          <w:sz w:val="24"/>
          <w:szCs w:val="24"/>
        </w:rPr>
        <w:t xml:space="preserve">руководствуясь Уставом </w:t>
      </w:r>
      <w:r w:rsidR="00785F04">
        <w:rPr>
          <w:sz w:val="24"/>
          <w:szCs w:val="24"/>
        </w:rPr>
        <w:t xml:space="preserve">муниципального образования </w:t>
      </w:r>
      <w:r w:rsidRPr="0057074E">
        <w:rPr>
          <w:sz w:val="24"/>
          <w:szCs w:val="24"/>
        </w:rPr>
        <w:t>Ромашкинское сельское поселение,</w:t>
      </w:r>
      <w:r w:rsidRPr="0057074E">
        <w:rPr>
          <w:sz w:val="24"/>
          <w:szCs w:val="24"/>
        </w:rPr>
        <w:t xml:space="preserve">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  <w:r>
        <w:rPr>
          <w:sz w:val="24"/>
          <w:szCs w:val="24"/>
        </w:rPr>
        <w:t>,</w:t>
      </w:r>
      <w:r w:rsidRPr="0057074E">
        <w:rPr>
          <w:sz w:val="24"/>
          <w:szCs w:val="24"/>
        </w:rPr>
        <w:t xml:space="preserve"> </w:t>
      </w:r>
      <w:r w:rsidR="00785F04" w:rsidRPr="00785F04">
        <w:rPr>
          <w:sz w:val="24"/>
          <w:szCs w:val="24"/>
        </w:rPr>
        <w:t>администрация муниципального образования</w:t>
      </w:r>
      <w:proofErr w:type="gramEnd"/>
      <w:r w:rsidR="00785F04" w:rsidRPr="00785F04">
        <w:rPr>
          <w:sz w:val="24"/>
          <w:szCs w:val="24"/>
        </w:rPr>
        <w:t xml:space="preserve"> Ромашкинское сельское поселение Приозерского муниципального района Ленинградской области ПОСТАНОВЛЯЕТ:</w:t>
      </w:r>
    </w:p>
    <w:p w:rsidR="0057074E" w:rsidRPr="0057074E" w:rsidRDefault="0057074E" w:rsidP="0057074E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  <w:r w:rsidRPr="0057074E">
        <w:rPr>
          <w:sz w:val="24"/>
          <w:szCs w:val="24"/>
        </w:rPr>
        <w:t>1.</w:t>
      </w:r>
      <w:r w:rsidRPr="0057074E">
        <w:rPr>
          <w:sz w:val="24"/>
          <w:szCs w:val="24"/>
        </w:rPr>
        <w:tab/>
        <w:t xml:space="preserve">Организовывать благоустройство территории муниципального образования </w:t>
      </w:r>
      <w:r w:rsidR="00785F04" w:rsidRPr="00785F04">
        <w:rPr>
          <w:sz w:val="24"/>
          <w:szCs w:val="24"/>
        </w:rPr>
        <w:t>Ромашкинское сельское поселение Приозерского муниципального района Ленинградской области</w:t>
      </w:r>
      <w:r w:rsidRPr="0057074E">
        <w:rPr>
          <w:sz w:val="24"/>
          <w:szCs w:val="24"/>
        </w:rPr>
        <w:t xml:space="preserve"> путем утверждения проектов благоустройства, обеспечивающих создание и оборудование спортивных и детских площадок</w:t>
      </w:r>
      <w:r>
        <w:rPr>
          <w:sz w:val="24"/>
          <w:szCs w:val="24"/>
        </w:rPr>
        <w:t>,</w:t>
      </w:r>
      <w:r w:rsidRPr="0057074E">
        <w:rPr>
          <w:sz w:val="24"/>
          <w:szCs w:val="24"/>
        </w:rPr>
        <w:t xml:space="preserve"> согласно прилож</w:t>
      </w:r>
      <w:r w:rsidR="00785F04">
        <w:rPr>
          <w:sz w:val="24"/>
          <w:szCs w:val="24"/>
        </w:rPr>
        <w:t>ению к настоящему постановлению;</w:t>
      </w:r>
    </w:p>
    <w:p w:rsidR="0057074E" w:rsidRPr="0057074E" w:rsidRDefault="0057074E" w:rsidP="0057074E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  <w:r w:rsidRPr="0057074E">
        <w:rPr>
          <w:sz w:val="24"/>
          <w:szCs w:val="24"/>
        </w:rPr>
        <w:t xml:space="preserve">2. 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r w:rsidR="00785F04" w:rsidRPr="00785F04">
        <w:rPr>
          <w:sz w:val="24"/>
          <w:szCs w:val="24"/>
        </w:rPr>
        <w:t>Ромашкинское сельское поселение Приозерского муниципального района Ленинградской области</w:t>
      </w:r>
      <w:r w:rsidR="00785F04">
        <w:rPr>
          <w:sz w:val="24"/>
          <w:szCs w:val="24"/>
        </w:rPr>
        <w:t>;</w:t>
      </w:r>
    </w:p>
    <w:p w:rsidR="0057074E" w:rsidRDefault="0057074E" w:rsidP="0057074E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  <w:r w:rsidRPr="0057074E">
        <w:rPr>
          <w:sz w:val="24"/>
          <w:szCs w:val="24"/>
        </w:rPr>
        <w:t>3.</w:t>
      </w:r>
      <w:r w:rsidRPr="0057074E">
        <w:rPr>
          <w:sz w:val="24"/>
          <w:szCs w:val="24"/>
        </w:rPr>
        <w:tab/>
        <w:t xml:space="preserve">Настоящее решение подлежит официальному опубликованию в </w:t>
      </w:r>
      <w:r w:rsidR="00785F04">
        <w:rPr>
          <w:sz w:val="24"/>
          <w:szCs w:val="24"/>
        </w:rPr>
        <w:t>газете «Приозерские ведомости»</w:t>
      </w:r>
      <w:r w:rsidRPr="0057074E">
        <w:rPr>
          <w:sz w:val="24"/>
          <w:szCs w:val="24"/>
        </w:rPr>
        <w:t xml:space="preserve"> и размещению на официальном сайте муниципального образования </w:t>
      </w:r>
      <w:r w:rsidR="00785F04" w:rsidRPr="00785F04">
        <w:rPr>
          <w:sz w:val="24"/>
          <w:szCs w:val="24"/>
        </w:rPr>
        <w:t>Ромашкинское сельское поселение Приозерского муниципального района Ленинградской области</w:t>
      </w:r>
      <w:r w:rsidR="00785F04">
        <w:rPr>
          <w:sz w:val="24"/>
          <w:szCs w:val="24"/>
        </w:rPr>
        <w:t xml:space="preserve"> </w:t>
      </w:r>
      <w:r w:rsidR="00785F04" w:rsidRPr="00785F04">
        <w:rPr>
          <w:sz w:val="24"/>
          <w:szCs w:val="24"/>
        </w:rPr>
        <w:t>www.ромашкинское.рф</w:t>
      </w:r>
      <w:r w:rsidRPr="0057074E">
        <w:rPr>
          <w:sz w:val="24"/>
          <w:szCs w:val="24"/>
        </w:rPr>
        <w:t>.</w:t>
      </w:r>
    </w:p>
    <w:p w:rsidR="00785F04" w:rsidRPr="0057074E" w:rsidRDefault="00785F04" w:rsidP="0057074E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8"/>
          <w:szCs w:val="28"/>
        </w:rPr>
      </w:pPr>
    </w:p>
    <w:p w:rsidR="00785F04" w:rsidRDefault="00785F04">
      <w:pPr>
        <w:pStyle w:val="Standard"/>
        <w:jc w:val="both"/>
        <w:rPr>
          <w:sz w:val="28"/>
          <w:szCs w:val="28"/>
        </w:rPr>
      </w:pPr>
    </w:p>
    <w:p w:rsidR="009454C3" w:rsidRDefault="0057074E" w:rsidP="00785F04">
      <w:pPr>
        <w:pStyle w:val="Standard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04501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35377">
        <w:rPr>
          <w:sz w:val="24"/>
          <w:szCs w:val="24"/>
        </w:rPr>
        <w:t xml:space="preserve"> администрации                                                                 </w:t>
      </w:r>
      <w:r w:rsidR="00442A4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С.В. </w:t>
      </w:r>
      <w:r w:rsidR="0004501C">
        <w:rPr>
          <w:sz w:val="24"/>
          <w:szCs w:val="24"/>
        </w:rPr>
        <w:t>Тан</w:t>
      </w:r>
      <w:r>
        <w:rPr>
          <w:sz w:val="24"/>
          <w:szCs w:val="24"/>
        </w:rPr>
        <w:t>ков</w:t>
      </w:r>
    </w:p>
    <w:p w:rsidR="009454C3" w:rsidRDefault="009454C3">
      <w:pPr>
        <w:pStyle w:val="Standard"/>
        <w:shd w:val="clear" w:color="auto" w:fill="FFFFFF"/>
        <w:ind w:left="720"/>
        <w:jc w:val="both"/>
        <w:rPr>
          <w:b/>
        </w:rPr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57074E">
      <w:pPr>
        <w:pStyle w:val="Standard"/>
        <w:shd w:val="clear" w:color="auto" w:fill="FFFFFF"/>
        <w:ind w:left="720"/>
        <w:jc w:val="both"/>
      </w:pPr>
      <w:r>
        <w:t>8 (813-</w:t>
      </w:r>
      <w:r w:rsidR="00735377">
        <w:t>79</w:t>
      </w:r>
      <w:r>
        <w:t xml:space="preserve">) </w:t>
      </w:r>
      <w:r w:rsidR="00735377">
        <w:t>99-515</w:t>
      </w: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Разослано; дело -2, прокуратура -1, администратор сайта- 1</w:t>
      </w: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735377">
      <w:pPr>
        <w:pStyle w:val="Standard"/>
        <w:jc w:val="right"/>
      </w:pPr>
      <w:r>
        <w:lastRenderedPageBreak/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735377">
      <w:pPr>
        <w:pStyle w:val="Standard"/>
        <w:jc w:val="right"/>
      </w:pPr>
      <w:r>
        <w:t>МО Ромашкинское сельское поселение</w:t>
      </w:r>
    </w:p>
    <w:p w:rsidR="009454C3" w:rsidRDefault="00735377">
      <w:pPr>
        <w:pStyle w:val="Standard"/>
        <w:jc w:val="right"/>
      </w:pPr>
      <w:r>
        <w:t xml:space="preserve">от </w:t>
      </w:r>
      <w:r w:rsidR="0057074E">
        <w:t xml:space="preserve">08 </w:t>
      </w:r>
      <w:r w:rsidR="00A14E4A">
        <w:t xml:space="preserve"> </w:t>
      </w:r>
      <w:r w:rsidR="0057074E">
        <w:t>июня</w:t>
      </w:r>
      <w:r w:rsidR="00B21288">
        <w:t xml:space="preserve">  2021 </w:t>
      </w:r>
      <w:r>
        <w:t xml:space="preserve">года № </w:t>
      </w:r>
      <w:r w:rsidR="00A14E4A">
        <w:t>13</w:t>
      </w:r>
      <w:r w:rsidR="0057074E">
        <w:t>4</w:t>
      </w:r>
    </w:p>
    <w:p w:rsidR="009454C3" w:rsidRDefault="009454C3">
      <w:pPr>
        <w:pStyle w:val="Standard"/>
        <w:jc w:val="right"/>
      </w:pPr>
    </w:p>
    <w:p w:rsidR="009454C3" w:rsidRPr="009307C7" w:rsidRDefault="009454C3">
      <w:pPr>
        <w:pStyle w:val="Standard"/>
        <w:jc w:val="center"/>
        <w:rPr>
          <w:b/>
          <w:sz w:val="24"/>
          <w:szCs w:val="24"/>
        </w:rPr>
      </w:pPr>
    </w:p>
    <w:p w:rsidR="0057074E" w:rsidRPr="0057074E" w:rsidRDefault="0057074E" w:rsidP="0057074E">
      <w:pPr>
        <w:widowControl/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bookmarkStart w:id="0" w:name="_GoBack"/>
      <w:r w:rsidRPr="005707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Детские и спортивные площадки</w:t>
      </w:r>
    </w:p>
    <w:bookmarkEnd w:id="0"/>
    <w:p w:rsidR="0057074E" w:rsidRPr="0057074E" w:rsidRDefault="0057074E" w:rsidP="0057074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7074E" w:rsidRPr="0057074E" w:rsidRDefault="0057074E" w:rsidP="0057074E">
      <w:pPr>
        <w:widowControl/>
        <w:shd w:val="clear" w:color="auto" w:fill="FFFFFF"/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д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ской области, муниципальными правовыми актами, включая приказ Минстроя России № 897/</w:t>
      </w:r>
      <w:proofErr w:type="spellStart"/>
      <w:proofErr w:type="gramStart"/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</w:t>
      </w:r>
      <w:proofErr w:type="spellEnd"/>
      <w:proofErr w:type="gramEnd"/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, </w:t>
      </w:r>
      <w:proofErr w:type="spellStart"/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Минспорта</w:t>
      </w:r>
      <w:proofErr w:type="spellEnd"/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России № 1128 от 27.12.2019 «Об утверждении методических рек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мендаций по благоустройству общественных и дворовых территорий средствами спо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р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тивной и де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т</w:t>
      </w:r>
      <w:r w:rsidRPr="005707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ской игровой инфраструктуры».</w:t>
      </w:r>
    </w:p>
    <w:p w:rsidR="0057074E" w:rsidRPr="0057074E" w:rsidRDefault="0057074E" w:rsidP="0057074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2. 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57074E" w:rsidRPr="0057074E" w:rsidRDefault="0057074E" w:rsidP="0057074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 Ответственность за содержание детских и спортивных площадок, расположе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ных на придомовых территориях, и обеспечение безопасности на них возлагается на управляющие компании и ТСЖ, если иное не предусмо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рено законом или договором.</w:t>
      </w:r>
    </w:p>
    <w:p w:rsidR="0057074E" w:rsidRPr="0057074E" w:rsidRDefault="0057074E" w:rsidP="0057074E">
      <w:pPr>
        <w:widowControl/>
        <w:shd w:val="clear" w:color="auto" w:fill="FFFFFF"/>
        <w:suppressAutoHyphens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4. Детские площадки предназначены для игр и активного отдыха детей разных во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з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растов: </w:t>
      </w:r>
      <w:proofErr w:type="spellStart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преддошкольного</w:t>
      </w:r>
      <w:proofErr w:type="spellEnd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(до 3 лет), дошкольного (до 7 лет), младшего и среднего школ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ь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ного возраста (7 - 12 лет).</w:t>
      </w:r>
    </w:p>
    <w:p w:rsidR="0057074E" w:rsidRPr="0057074E" w:rsidRDefault="0057074E" w:rsidP="0057074E">
      <w:pPr>
        <w:widowControl/>
        <w:shd w:val="clear" w:color="auto" w:fill="FFFFFF"/>
        <w:suppressAutoHyphens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7074E" w:rsidRPr="0057074E" w:rsidRDefault="0057074E" w:rsidP="0057074E">
      <w:pPr>
        <w:widowControl/>
        <w:shd w:val="clear" w:color="auto" w:fill="FFFFFF"/>
        <w:suppressAutoHyphens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5. Детские площадки изолируются от транзитного пешеходного движ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6. Детские площадки должны отвечать требованиям: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- </w:t>
      </w:r>
      <w:hyperlink r:id="rId9" w:history="1"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 xml:space="preserve">ГОСТ </w:t>
        </w:r>
        <w:proofErr w:type="gramStart"/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>Р</w:t>
        </w:r>
        <w:proofErr w:type="gramEnd"/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 xml:space="preserve"> 52301-2013</w:t>
        </w:r>
      </w:hyperlink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«Национальный стандарт Российской Федерации. Оборуд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вание и покрытия детских игровых площадок. Безопасность при эксплуатации. Общие требования» (утв. и введен в действие </w:t>
      </w:r>
      <w:hyperlink r:id="rId10" w:history="1"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>приказом</w:t>
        </w:r>
      </w:hyperlink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proofErr w:type="spellStart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Ро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с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стандарта</w:t>
      </w:r>
      <w:proofErr w:type="spellEnd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от 24.06.2013 № 182-ст);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- </w:t>
      </w:r>
      <w:hyperlink r:id="rId11" w:history="1"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 xml:space="preserve">ГОСТ </w:t>
        </w:r>
        <w:proofErr w:type="gramStart"/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>Р</w:t>
        </w:r>
        <w:proofErr w:type="gramEnd"/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 xml:space="preserve"> 52169-2012</w:t>
        </w:r>
      </w:hyperlink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«Национальный стандарт Российской Федерации. Оборуд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вание и покрытия детских игровых площадок. Безопасность конструкции и методы исп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ы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таний. Общие требования» (утв. и </w:t>
      </w:r>
      <w:proofErr w:type="gramStart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введен</w:t>
      </w:r>
      <w:proofErr w:type="gramEnd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в действие </w:t>
      </w:r>
      <w:hyperlink r:id="rId12" w:history="1">
        <w:r w:rsidRPr="0057074E">
          <w:rPr>
            <w:rFonts w:ascii="Times New Roman" w:eastAsia="Calibri" w:hAnsi="Times New Roman" w:cs="Times New Roman"/>
            <w:bCs/>
            <w:kern w:val="0"/>
            <w:sz w:val="24"/>
            <w:szCs w:val="24"/>
            <w:lang w:eastAsia="ru-RU"/>
          </w:rPr>
          <w:t>приказом</w:t>
        </w:r>
      </w:hyperlink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proofErr w:type="spellStart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Росстандарта</w:t>
      </w:r>
      <w:proofErr w:type="spellEnd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от 23.11.2012).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7. Игровое оборудование должно быть сертифицировано, соответствовать требов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а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ниям санитарно-гигиенических норм, охраны жизни и здоровья ребенка, быть удобным в технической эксплуатации, эстетически привлек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а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тельным.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го оборудования должны исключать острые углы, </w:t>
      </w:r>
      <w:proofErr w:type="spellStart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застревание</w:t>
      </w:r>
      <w:proofErr w:type="spellEnd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8. При выборе оборудования детских и спортивных площадок рекомендуется пр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держиваться современных российских и международных те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денций в области развития уличной детской игровой и спортивной инфраструктуры (в том числе по дизайну, фун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циональному назначению и эксплуатационным свойствам оборудования), а также учит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вать: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вил;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устойчивость конструкций, надежную фиксацию, крепление оборудования к осн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ванию площадки и между собой или обеспечение возможности перемещения конструкций в зависимости от условий расположения;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антивандальную защищенность от разрушения, устойчивость к механическим во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действиям пользователей, включая сознательную порчу оборудования, оклейку, нанес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ние надписей и изображений;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возможность всесезонной эксплуатации;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дизайн и расцветку в зависимости от вида площадки, специализации функционал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ной зоны площадки;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удобство монтажа и эксплуатации;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возможность ремонта и (или) быстрой замены деталей и комплектующих оборуд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вания;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10. При выборе покрытия детских игровых площадок рекомендуется отдать пре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почтение покрытиям, обладающим амортизирующими свойств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ми, для предотвращения </w:t>
      </w:r>
      <w:proofErr w:type="spellStart"/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травмирования</w:t>
      </w:r>
      <w:proofErr w:type="spellEnd"/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детей при падении (использовать </w:t>
      </w:r>
      <w:proofErr w:type="spellStart"/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ударопоглощающие</w:t>
      </w:r>
      <w:proofErr w:type="spellEnd"/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(мягкие) виды п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крытия).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12. Все площадки должны быть обеспечены подъездами для инвалидов либо па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н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дусами.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а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тельных школ.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14. Минимальное расстояние от границ спортплощадок до окон жилых домов сл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е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дует принимать от 20 до 40 м в зависимости от шумовых характ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е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ристик площадки.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разнообразие функциональных зон площадки;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по необходимости - защитные ограждения площадки);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количество элементов и виды оборудования;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антивандальность</w:t>
      </w:r>
      <w:proofErr w:type="spellEnd"/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оборудования;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всесезонная эксплуатация оборудования (возможно применение всп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могательного оборудования в виде навесов, шатров, павильонов);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привлекательный современный дизайн;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ремонтопригодность или возможность быстрой и недорогой замены сломанных элементов оборудования;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удобство в эксплуатации (наличие информационных стендов с описанием упра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нений/правил использования, наличие скамеек для отдыха и п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реодевания, навесов, урн);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удобство в регулярном обслуживании площадки и уборке (включая отчистку пл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щадки от снега).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16. 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В перечень элементов комплексного благоустройства на спорти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в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ной площадке входят «мягкие» или газонные виды покрытия, спортивное оборудование.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17. В зависимости от вида спорта, для занятий которым организовывается площа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ка, рекомендуется подбирать различные материалы покрытия, в том числе резиновое п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крытие для спортивных площадок, искусственный г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зон, специальный ковровый настил, песок. 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18. Рекомендуется озеленение и ограждение площадки.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19. 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Площадки озеленяются посадками быстрорастущими породами деревьев и к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старников с учетом их инсоляции в течение 5 часов светового дня.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 допускается применение колючих видов растений, применение растений с яд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витыми плодами, применение деревьев и кустарников, имеющих блестящие листья, да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щие большое количество летящих семян, обильно плодоносящих и рано сбрасывающих листву.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Озеленение размещается по периметру площадки на расстоянии не менее 2 м от края площадки.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Для ограждения </w:t>
      </w:r>
      <w:proofErr w:type="gramStart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площадки</w:t>
      </w:r>
      <w:proofErr w:type="gramEnd"/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возможно применять вертикальное озелен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е</w:t>
      </w: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ние.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57074E" w:rsidRPr="0057074E" w:rsidRDefault="0057074E" w:rsidP="0057074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бований по безопасности.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21. Рекомендуется применять осветительные элементы, обладающие антивандал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ными свойствами.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22. Содержание оборудования, установленного на площадках, пров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дится в виде: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 (регулярный визуальный осмотр);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детальной проверки оборудования с целью оценки рабочего состояния, степени и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ношенности, прочности и устойчивости оборудования (функци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нальный осмотр);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ежегодной проверки с целью оценки соответствия технического состояния обор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дования требованиям безопасности ежегодный (основной осмотр).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течение всего периода службы оборудования проводится его техническое осв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детельствование.</w:t>
      </w:r>
    </w:p>
    <w:p w:rsidR="0057074E" w:rsidRPr="0057074E" w:rsidRDefault="0057074E" w:rsidP="0057074E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Оборудование по истечении срока службы, заявленного в паспорте изделия, демо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5707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тируется.</w:t>
      </w:r>
    </w:p>
    <w:p w:rsidR="009454C3" w:rsidRPr="00785F04" w:rsidRDefault="009454C3">
      <w:pPr>
        <w:pStyle w:val="Standard"/>
        <w:jc w:val="center"/>
        <w:rPr>
          <w:sz w:val="24"/>
          <w:szCs w:val="24"/>
        </w:rPr>
      </w:pPr>
    </w:p>
    <w:sectPr w:rsidR="009454C3" w:rsidRPr="00785F04">
      <w:pgSz w:w="11906" w:h="16838"/>
      <w:pgMar w:top="794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A5" w:rsidRDefault="007604A5">
      <w:pPr>
        <w:spacing w:after="0" w:line="240" w:lineRule="auto"/>
      </w:pPr>
      <w:r>
        <w:separator/>
      </w:r>
    </w:p>
  </w:endnote>
  <w:endnote w:type="continuationSeparator" w:id="0">
    <w:p w:rsidR="007604A5" w:rsidRDefault="0076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A5" w:rsidRDefault="00760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04A5" w:rsidRDefault="0076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5547C5"/>
    <w:multiLevelType w:val="hybridMultilevel"/>
    <w:tmpl w:val="8F4850AE"/>
    <w:lvl w:ilvl="0" w:tplc="1FFE9B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22"/>
  </w:num>
  <w:num w:numId="5">
    <w:abstractNumId w:val="23"/>
  </w:num>
  <w:num w:numId="6">
    <w:abstractNumId w:val="33"/>
  </w:num>
  <w:num w:numId="7">
    <w:abstractNumId w:val="9"/>
  </w:num>
  <w:num w:numId="8">
    <w:abstractNumId w:val="27"/>
  </w:num>
  <w:num w:numId="9">
    <w:abstractNumId w:val="20"/>
  </w:num>
  <w:num w:numId="10">
    <w:abstractNumId w:val="25"/>
  </w:num>
  <w:num w:numId="11">
    <w:abstractNumId w:val="1"/>
  </w:num>
  <w:num w:numId="12">
    <w:abstractNumId w:val="30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28"/>
  </w:num>
  <w:num w:numId="21">
    <w:abstractNumId w:val="10"/>
  </w:num>
  <w:num w:numId="22">
    <w:abstractNumId w:val="21"/>
  </w:num>
  <w:num w:numId="23">
    <w:abstractNumId w:val="17"/>
  </w:num>
  <w:num w:numId="24">
    <w:abstractNumId w:val="14"/>
  </w:num>
  <w:num w:numId="25">
    <w:abstractNumId w:val="16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24"/>
  </w:num>
  <w:num w:numId="31">
    <w:abstractNumId w:val="29"/>
  </w:num>
  <w:num w:numId="32">
    <w:abstractNumId w:val="5"/>
  </w:num>
  <w:num w:numId="33">
    <w:abstractNumId w:val="18"/>
  </w:num>
  <w:num w:numId="34">
    <w:abstractNumId w:val="11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4C3"/>
    <w:rsid w:val="0004501C"/>
    <w:rsid w:val="000F2FEB"/>
    <w:rsid w:val="00294EDC"/>
    <w:rsid w:val="002D67B4"/>
    <w:rsid w:val="003010DD"/>
    <w:rsid w:val="003E3127"/>
    <w:rsid w:val="00442A45"/>
    <w:rsid w:val="0057074E"/>
    <w:rsid w:val="00577772"/>
    <w:rsid w:val="005A5EBB"/>
    <w:rsid w:val="00620215"/>
    <w:rsid w:val="006A53B2"/>
    <w:rsid w:val="00735377"/>
    <w:rsid w:val="007604A5"/>
    <w:rsid w:val="00785F04"/>
    <w:rsid w:val="008877D7"/>
    <w:rsid w:val="009307C7"/>
    <w:rsid w:val="009454C3"/>
    <w:rsid w:val="009C0C9B"/>
    <w:rsid w:val="00A14E4A"/>
    <w:rsid w:val="00B21288"/>
    <w:rsid w:val="00B26482"/>
    <w:rsid w:val="00B316F9"/>
    <w:rsid w:val="00C003AD"/>
    <w:rsid w:val="00CD4130"/>
    <w:rsid w:val="00D97882"/>
    <w:rsid w:val="00DB11AC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2DCC95115AB87CCB58FDD02133A72EE5127968252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2DCC95115AB87CCB586C405133A72E95F22978158E697D14E6B6E06C017235EEFD014969DE7F6A7D26B18B7Y5D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2DCC95115AB87CCB58FDD02133A72EE5129978657E697D14E6B6E06C017235EEFD014969DE7F6A7D26B18B7Y5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90C807133A72ED502692875ABB9DD917676C01CF48264BFE88199184F9F0BFCE691AYBD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5</cp:revision>
  <cp:lastPrinted>2021-06-10T12:01:00Z</cp:lastPrinted>
  <dcterms:created xsi:type="dcterms:W3CDTF">2021-06-10T11:42:00Z</dcterms:created>
  <dcterms:modified xsi:type="dcterms:W3CDTF">2021-06-10T12:02:00Z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